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FF8" w:rsidRPr="00C51254" w:rsidRDefault="00890FF8" w:rsidP="00890FF8">
      <w:pPr>
        <w:pStyle w:val="Textoindependiente"/>
        <w:ind w:right="49"/>
        <w:rPr>
          <w:rFonts w:ascii="Arial" w:hAnsi="Arial" w:cs="Arial"/>
          <w:smallCaps/>
          <w:sz w:val="22"/>
          <w:szCs w:val="22"/>
        </w:rPr>
      </w:pPr>
      <w:r w:rsidRPr="00C51254">
        <w:rPr>
          <w:rFonts w:ascii="Arial" w:hAnsi="Arial" w:cs="Arial"/>
          <w:smallCaps/>
          <w:sz w:val="22"/>
          <w:szCs w:val="22"/>
        </w:rPr>
        <w:t xml:space="preserve">Aviso de Privacidad </w:t>
      </w:r>
      <w:r w:rsidR="009C2747">
        <w:rPr>
          <w:rFonts w:ascii="Arial" w:hAnsi="Arial" w:cs="Arial"/>
          <w:smallCaps/>
          <w:sz w:val="22"/>
          <w:szCs w:val="22"/>
        </w:rPr>
        <w:t>Integral</w:t>
      </w:r>
    </w:p>
    <w:p w:rsidR="00890FF8" w:rsidRDefault="00890FF8" w:rsidP="00890FF8">
      <w:pPr>
        <w:pStyle w:val="Textoindependiente"/>
        <w:ind w:right="49"/>
        <w:rPr>
          <w:rFonts w:ascii="Arial" w:hAnsi="Arial" w:cs="Arial"/>
          <w:smallCaps/>
          <w:sz w:val="22"/>
          <w:szCs w:val="22"/>
        </w:rPr>
      </w:pPr>
      <w:r w:rsidRPr="00C51254">
        <w:rPr>
          <w:rFonts w:ascii="Arial" w:hAnsi="Arial" w:cs="Arial"/>
          <w:smallCaps/>
          <w:sz w:val="22"/>
          <w:szCs w:val="22"/>
        </w:rPr>
        <w:t>para el uso de tecnologías de la información en la presentación y trámite ante el Tribunal Electoral de la Ciudad de México de medios de impugnación, procedimiento especial sancionador y/o promociones</w:t>
      </w:r>
    </w:p>
    <w:p w:rsidR="009C2747" w:rsidRPr="00C51254" w:rsidRDefault="009C2747" w:rsidP="00890FF8">
      <w:pPr>
        <w:pStyle w:val="Textoindependiente"/>
        <w:ind w:right="49"/>
        <w:rPr>
          <w:rFonts w:ascii="Arial" w:hAnsi="Arial" w:cs="Arial"/>
          <w:smallCaps/>
          <w:sz w:val="22"/>
          <w:szCs w:val="22"/>
        </w:rPr>
      </w:pPr>
    </w:p>
    <w:p w:rsidR="00890FF8" w:rsidRPr="00C51254" w:rsidRDefault="00890FF8" w:rsidP="00890FF8">
      <w:pPr>
        <w:pStyle w:val="Default"/>
        <w:jc w:val="center"/>
        <w:rPr>
          <w:sz w:val="22"/>
          <w:szCs w:val="22"/>
        </w:rPr>
      </w:pPr>
    </w:p>
    <w:p w:rsidR="00890FF8" w:rsidRPr="00C51254" w:rsidRDefault="00890FF8" w:rsidP="009C2747">
      <w:pPr>
        <w:pStyle w:val="Default"/>
        <w:jc w:val="both"/>
        <w:rPr>
          <w:sz w:val="22"/>
          <w:szCs w:val="22"/>
        </w:rPr>
      </w:pPr>
      <w:r w:rsidRPr="00C51254">
        <w:rPr>
          <w:sz w:val="22"/>
          <w:szCs w:val="22"/>
        </w:rPr>
        <w:t xml:space="preserve">El Tribunal Electoral de la Ciudad de México, con domicilio en Magdalena No. 21, Col. Del Valle, Demarcación Territorial Benito Juárez, C.P. 03100, Ciudad de México, es el Responsable del tratamiento de los datos personales que nos proporcione, los cuales serán protegidos en el </w:t>
      </w:r>
      <w:r w:rsidRPr="00C51254">
        <w:rPr>
          <w:b/>
          <w:sz w:val="22"/>
          <w:szCs w:val="22"/>
        </w:rPr>
        <w:t>Sistema de Datos Personales</w:t>
      </w:r>
      <w:r w:rsidR="008F7047" w:rsidRPr="00C51254">
        <w:rPr>
          <w:b/>
          <w:sz w:val="22"/>
          <w:szCs w:val="22"/>
        </w:rPr>
        <w:t xml:space="preserve"> de </w:t>
      </w:r>
      <w:r w:rsidR="00C158A5" w:rsidRPr="00C51254">
        <w:rPr>
          <w:b/>
          <w:sz w:val="22"/>
          <w:szCs w:val="22"/>
        </w:rPr>
        <w:t xml:space="preserve">Sustanciación de Controversias </w:t>
      </w:r>
      <w:r w:rsidR="008F7047" w:rsidRPr="00C51254">
        <w:rPr>
          <w:b/>
          <w:sz w:val="22"/>
          <w:szCs w:val="22"/>
        </w:rPr>
        <w:t>Laborales</w:t>
      </w:r>
      <w:r w:rsidR="00C158A5" w:rsidRPr="00C51254">
        <w:rPr>
          <w:b/>
          <w:sz w:val="22"/>
          <w:szCs w:val="22"/>
        </w:rPr>
        <w:t xml:space="preserve"> y Administrativas</w:t>
      </w:r>
      <w:r w:rsidR="008F7047" w:rsidRPr="00C51254">
        <w:rPr>
          <w:b/>
          <w:sz w:val="22"/>
          <w:szCs w:val="22"/>
        </w:rPr>
        <w:t xml:space="preserve">, </w:t>
      </w:r>
      <w:r w:rsidRPr="00C51254">
        <w:rPr>
          <w:sz w:val="22"/>
          <w:szCs w:val="22"/>
        </w:rPr>
        <w:t xml:space="preserve">con fundamento </w:t>
      </w:r>
      <w:r w:rsidR="00C158A5" w:rsidRPr="00C51254">
        <w:rPr>
          <w:rFonts w:eastAsia="Arial"/>
          <w:sz w:val="22"/>
          <w:szCs w:val="22"/>
          <w:lang w:val="es-ES"/>
        </w:rPr>
        <w:t>en el artículo 36 de la Ley de Protección de Datos Personales en Posesión de Sujetos Obligados de la Ciudad de México</w:t>
      </w:r>
      <w:r w:rsidRPr="00C51254">
        <w:rPr>
          <w:sz w:val="22"/>
          <w:szCs w:val="22"/>
        </w:rPr>
        <w:t xml:space="preserve">. </w:t>
      </w:r>
    </w:p>
    <w:p w:rsidR="00890FF8" w:rsidRPr="00C51254" w:rsidRDefault="00890FF8" w:rsidP="009C2747">
      <w:pPr>
        <w:pStyle w:val="Default"/>
        <w:jc w:val="both"/>
        <w:rPr>
          <w:sz w:val="22"/>
          <w:szCs w:val="22"/>
        </w:rPr>
      </w:pPr>
    </w:p>
    <w:p w:rsidR="00890FF8" w:rsidRPr="00C51254" w:rsidRDefault="00C158A5" w:rsidP="009C2747">
      <w:pPr>
        <w:spacing w:after="0" w:line="240" w:lineRule="auto"/>
        <w:ind w:left="11" w:hanging="11"/>
        <w:jc w:val="both"/>
        <w:rPr>
          <w:rFonts w:ascii="Arial" w:hAnsi="Arial" w:cs="Arial"/>
        </w:rPr>
      </w:pPr>
      <w:r w:rsidRPr="00C51254">
        <w:rPr>
          <w:rFonts w:ascii="Arial" w:hAnsi="Arial" w:cs="Arial"/>
        </w:rPr>
        <w:t>Sus datos personales serán utilizados con la finalidad de recibir y tramitar vía electrónica los medios de impugnación, Procedimiento Especial Sancionador, promociones y/o asuntos jurisdiccionales competencia del Tribunal Electoral de la Ciudad de México.</w:t>
      </w:r>
      <w:r w:rsidR="00890FF8" w:rsidRPr="00C51254">
        <w:rPr>
          <w:b/>
          <w:bCs/>
        </w:rPr>
        <w:t xml:space="preserve"> </w:t>
      </w:r>
    </w:p>
    <w:p w:rsidR="00890FF8" w:rsidRPr="00C51254" w:rsidRDefault="00890FF8" w:rsidP="009C2747">
      <w:pPr>
        <w:pStyle w:val="Default"/>
        <w:jc w:val="both"/>
        <w:rPr>
          <w:sz w:val="22"/>
          <w:szCs w:val="22"/>
        </w:rPr>
      </w:pPr>
    </w:p>
    <w:p w:rsidR="00C158A5" w:rsidRPr="00C51254" w:rsidRDefault="00890FF8" w:rsidP="009C2747">
      <w:pPr>
        <w:ind w:right="49"/>
        <w:jc w:val="both"/>
        <w:rPr>
          <w:rFonts w:ascii="Arial" w:eastAsia="Arial" w:hAnsi="Arial" w:cs="Arial"/>
        </w:rPr>
      </w:pPr>
      <w:r w:rsidRPr="00C51254">
        <w:rPr>
          <w:rFonts w:ascii="Arial" w:hAnsi="Arial" w:cs="Arial"/>
        </w:rPr>
        <w:t>Para las finalidades antes señaladas se solicitarán los siguientes datos</w:t>
      </w:r>
      <w:r w:rsidRPr="00C51254">
        <w:t xml:space="preserve"> </w:t>
      </w:r>
      <w:r w:rsidRPr="00C51254">
        <w:rPr>
          <w:rFonts w:ascii="Arial" w:hAnsi="Arial" w:cs="Arial"/>
        </w:rPr>
        <w:t>personales</w:t>
      </w:r>
      <w:r w:rsidR="00C158A5" w:rsidRPr="00C51254">
        <w:rPr>
          <w:rFonts w:ascii="Arial" w:eastAsia="Arial" w:hAnsi="Arial" w:cs="Arial"/>
        </w:rPr>
        <w:t>:</w:t>
      </w:r>
    </w:p>
    <w:p w:rsidR="00C158A5" w:rsidRPr="00C51254" w:rsidRDefault="00C158A5" w:rsidP="009C2747">
      <w:pPr>
        <w:ind w:right="49"/>
        <w:jc w:val="both"/>
        <w:rPr>
          <w:rFonts w:ascii="Arial" w:eastAsia="Arial" w:hAnsi="Arial" w:cs="Arial"/>
        </w:rPr>
      </w:pPr>
      <w:r w:rsidRPr="00C51254">
        <w:rPr>
          <w:rFonts w:ascii="Arial" w:eastAsia="Arial" w:hAnsi="Arial" w:cs="Arial"/>
        </w:rPr>
        <w:t>Datos identificativos: nombre, domicilio, teléfono particular, teléfono celular, firma, clave del Registro Federal de Contribuyentes (RFC), Clave Única de Registro de Población (CURP), Matrícula del Servicio Militar Nacional, número de pasaporte, lugar y fecha de nacimiento, nacionalidad, edad, fotografía y demás análogos.</w:t>
      </w:r>
    </w:p>
    <w:p w:rsidR="00C158A5" w:rsidRPr="00C51254" w:rsidRDefault="00C158A5" w:rsidP="009C2747">
      <w:pPr>
        <w:ind w:right="49"/>
        <w:jc w:val="both"/>
        <w:rPr>
          <w:rFonts w:ascii="Arial" w:eastAsia="Arial" w:hAnsi="Arial" w:cs="Arial"/>
        </w:rPr>
      </w:pPr>
      <w:r w:rsidRPr="00C51254">
        <w:rPr>
          <w:rFonts w:ascii="Arial" w:eastAsia="Arial" w:hAnsi="Arial" w:cs="Arial"/>
        </w:rPr>
        <w:t>Datos electrónicos: direcciones electrónicas, tales como correo electrónico no oficial, nombre de cuenta en redes sociales, dominios electrónicos (páginas de internet).</w:t>
      </w:r>
    </w:p>
    <w:p w:rsidR="00890FF8" w:rsidRPr="00C51254" w:rsidRDefault="00C158A5" w:rsidP="009C2747">
      <w:pPr>
        <w:ind w:right="49"/>
        <w:jc w:val="both"/>
        <w:rPr>
          <w:rFonts w:ascii="Arial" w:eastAsia="Arial" w:hAnsi="Arial" w:cs="Arial"/>
        </w:rPr>
      </w:pPr>
      <w:r w:rsidRPr="00C51254">
        <w:rPr>
          <w:rFonts w:ascii="Arial" w:eastAsia="Arial" w:hAnsi="Arial" w:cs="Arial"/>
        </w:rPr>
        <w:t xml:space="preserve">Datos sobre procedimientos administrativos y/o jurisdiccionales: La información relativa a una persona que se encuentre sujeta a un procedimiento administrativo seguido en forma de juicio o jurisdiccional en materia electoral, laboral, civil, penal, fiscal, administrativa o de </w:t>
      </w:r>
      <w:r w:rsidR="00463E78">
        <w:rPr>
          <w:rFonts w:ascii="Arial" w:eastAsia="Arial" w:hAnsi="Arial" w:cs="Arial"/>
        </w:rPr>
        <w:t>cualquier otra rama del Derecho; la información contenida en el juicio para la protección de los derechos político-electorales de la ciudadanía, juicio electoral y procedimiento especial sancionador,</w:t>
      </w:r>
      <w:r w:rsidR="00463E78">
        <w:rPr>
          <w:rFonts w:ascii="Arial" w:hAnsi="Arial" w:cs="Arial"/>
        </w:rPr>
        <w:t xml:space="preserve"> tendrá</w:t>
      </w:r>
      <w:r w:rsidR="00890FF8" w:rsidRPr="00C51254">
        <w:rPr>
          <w:rFonts w:ascii="Arial" w:hAnsi="Arial" w:cs="Arial"/>
        </w:rPr>
        <w:t xml:space="preserve"> un ciclo de vida </w:t>
      </w:r>
      <w:r w:rsidR="00C51254">
        <w:rPr>
          <w:rFonts w:ascii="Arial" w:hAnsi="Arial" w:cs="Arial"/>
        </w:rPr>
        <w:t>de</w:t>
      </w:r>
      <w:r w:rsidR="00463E78">
        <w:rPr>
          <w:rFonts w:ascii="Arial" w:hAnsi="Arial" w:cs="Arial"/>
        </w:rPr>
        <w:t xml:space="preserve"> seis años, de conformidad con lo establecido en el Catálogo de Disposición Documental del Tribunal Electoral de la Ciudad de México, aprobado el 27 de junio de 2019.</w:t>
      </w:r>
      <w:r w:rsidR="00890FF8" w:rsidRPr="00C51254">
        <w:rPr>
          <w:rFonts w:ascii="Arial" w:hAnsi="Arial" w:cs="Arial"/>
          <w:color w:val="FF0000"/>
        </w:rPr>
        <w:t xml:space="preserve"> </w:t>
      </w:r>
    </w:p>
    <w:p w:rsidR="00890FF8" w:rsidRPr="00C51254" w:rsidRDefault="00890FF8" w:rsidP="009C2747">
      <w:pPr>
        <w:pStyle w:val="Default"/>
        <w:jc w:val="both"/>
        <w:rPr>
          <w:sz w:val="22"/>
          <w:szCs w:val="22"/>
        </w:rPr>
      </w:pPr>
      <w:bookmarkStart w:id="0" w:name="_GoBack"/>
      <w:bookmarkEnd w:id="0"/>
    </w:p>
    <w:p w:rsidR="00890FF8" w:rsidRPr="00C51254" w:rsidRDefault="00890FF8" w:rsidP="009C2747">
      <w:pPr>
        <w:pStyle w:val="Default"/>
        <w:jc w:val="both"/>
        <w:rPr>
          <w:sz w:val="22"/>
          <w:szCs w:val="22"/>
        </w:rPr>
      </w:pPr>
      <w:r w:rsidRPr="00C51254">
        <w:rPr>
          <w:sz w:val="22"/>
          <w:szCs w:val="22"/>
        </w:rPr>
        <w:t xml:space="preserve">Usted podrá ejercer sus derechos de acceso, rectificación, cancelación u oposición, de sus datos personales (derechos ARCO), así como la revocación del consentimiento directamente ante la Unidad de Transparencia </w:t>
      </w:r>
      <w:r w:rsidR="00C158A5" w:rsidRPr="00C51254">
        <w:rPr>
          <w:rFonts w:eastAsia="Arial"/>
          <w:sz w:val="22"/>
          <w:szCs w:val="22"/>
          <w:lang w:val="es-ES"/>
        </w:rPr>
        <w:t>Tribunal Electoral de la Ciudad de México</w:t>
      </w:r>
      <w:r w:rsidRPr="00C51254">
        <w:rPr>
          <w:sz w:val="22"/>
          <w:szCs w:val="22"/>
        </w:rPr>
        <w:t xml:space="preserve">, ubicada </w:t>
      </w:r>
      <w:r w:rsidR="00C158A5" w:rsidRPr="00C51254">
        <w:rPr>
          <w:rFonts w:eastAsia="Arial"/>
          <w:sz w:val="22"/>
          <w:szCs w:val="22"/>
          <w:lang w:val="es-ES"/>
        </w:rPr>
        <w:t>Calle Magdalena número 21, Tercer Piso, Colonia Del Valle, Alcaldía Benito Juárez, C.P 03100 , Ciudad de México</w:t>
      </w:r>
      <w:r w:rsidR="00C51254" w:rsidRPr="00C51254">
        <w:rPr>
          <w:sz w:val="22"/>
          <w:szCs w:val="22"/>
        </w:rPr>
        <w:t xml:space="preserve">, </w:t>
      </w:r>
      <w:r w:rsidRPr="00C51254">
        <w:rPr>
          <w:sz w:val="22"/>
          <w:szCs w:val="22"/>
        </w:rPr>
        <w:t xml:space="preserve">con número telefónico </w:t>
      </w:r>
      <w:r w:rsidR="00C51254" w:rsidRPr="00C51254">
        <w:rPr>
          <w:sz w:val="22"/>
          <w:szCs w:val="22"/>
        </w:rPr>
        <w:t>53404600 extensión 1001 y 1203</w:t>
      </w:r>
      <w:r w:rsidRPr="00C51254">
        <w:rPr>
          <w:sz w:val="22"/>
          <w:szCs w:val="22"/>
        </w:rPr>
        <w:t>, o bien, a través del Sistema I</w:t>
      </w:r>
      <w:r w:rsidR="00C51254">
        <w:rPr>
          <w:sz w:val="22"/>
          <w:szCs w:val="22"/>
        </w:rPr>
        <w:t xml:space="preserve">NFOMEX (www.infomexdf.org.mx) o </w:t>
      </w:r>
      <w:r w:rsidRPr="00C51254">
        <w:rPr>
          <w:sz w:val="22"/>
          <w:szCs w:val="22"/>
        </w:rPr>
        <w:t xml:space="preserve">la Plataforma Nacional de Transparencia(http://www.plataformadetransparencia.org.mx/), o en el correo electrónico </w:t>
      </w:r>
      <w:hyperlink r:id="rId5" w:history="1">
        <w:r w:rsidR="00C51254" w:rsidRPr="00C51254">
          <w:rPr>
            <w:rStyle w:val="Hipervnculo"/>
            <w:sz w:val="22"/>
            <w:szCs w:val="22"/>
          </w:rPr>
          <w:t>transparencia@</w:t>
        </w:r>
        <w:r w:rsidR="00C51254" w:rsidRPr="00C51254">
          <w:rPr>
            <w:rStyle w:val="Hipervnculo"/>
            <w:b/>
            <w:sz w:val="22"/>
            <w:szCs w:val="22"/>
          </w:rPr>
          <w:t>tecdmx</w:t>
        </w:r>
        <w:r w:rsidR="00C51254" w:rsidRPr="00C51254">
          <w:rPr>
            <w:rStyle w:val="Hipervnculo"/>
            <w:sz w:val="22"/>
            <w:szCs w:val="22"/>
          </w:rPr>
          <w:t>.org.mx</w:t>
        </w:r>
      </w:hyperlink>
      <w:r w:rsidR="00C51254" w:rsidRPr="00C51254">
        <w:rPr>
          <w:sz w:val="22"/>
          <w:szCs w:val="22"/>
        </w:rPr>
        <w:t>.</w:t>
      </w:r>
    </w:p>
    <w:p w:rsidR="00C51254" w:rsidRPr="00C51254" w:rsidRDefault="00C51254" w:rsidP="00890FF8">
      <w:pPr>
        <w:pStyle w:val="Default"/>
        <w:jc w:val="both"/>
        <w:rPr>
          <w:sz w:val="22"/>
          <w:szCs w:val="22"/>
        </w:rPr>
      </w:pPr>
    </w:p>
    <w:p w:rsidR="00302340" w:rsidRPr="00C51254" w:rsidRDefault="00302340">
      <w:pPr>
        <w:rPr>
          <w:lang w:val="es-MX"/>
        </w:rPr>
      </w:pPr>
    </w:p>
    <w:sectPr w:rsidR="00302340" w:rsidRPr="00C512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FF8"/>
    <w:rsid w:val="00101E81"/>
    <w:rsid w:val="00302340"/>
    <w:rsid w:val="00374384"/>
    <w:rsid w:val="00463E78"/>
    <w:rsid w:val="00890FF8"/>
    <w:rsid w:val="008F7047"/>
    <w:rsid w:val="009C2747"/>
    <w:rsid w:val="00C158A5"/>
    <w:rsid w:val="00C51254"/>
    <w:rsid w:val="00FE27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90FF8"/>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rsid w:val="00890FF8"/>
    <w:pPr>
      <w:spacing w:after="0" w:line="240" w:lineRule="auto"/>
      <w:jc w:val="center"/>
    </w:pPr>
    <w:rPr>
      <w:rFonts w:ascii="Bookman Old Style" w:eastAsia="Times New Roman" w:hAnsi="Bookman Old Style" w:cs="Times New Roman"/>
      <w:b/>
      <w:sz w:val="26"/>
      <w:szCs w:val="24"/>
      <w:lang w:val="es-MX" w:eastAsia="es-MX"/>
    </w:rPr>
  </w:style>
  <w:style w:type="character" w:customStyle="1" w:styleId="TextoindependienteCar">
    <w:name w:val="Texto independiente Car"/>
    <w:basedOn w:val="Fuentedeprrafopredeter"/>
    <w:link w:val="Textoindependiente"/>
    <w:rsid w:val="00890FF8"/>
    <w:rPr>
      <w:rFonts w:ascii="Bookman Old Style" w:eastAsia="Times New Roman" w:hAnsi="Bookman Old Style" w:cs="Times New Roman"/>
      <w:b/>
      <w:sz w:val="26"/>
      <w:szCs w:val="24"/>
      <w:lang w:val="es-MX" w:eastAsia="es-MX"/>
    </w:rPr>
  </w:style>
  <w:style w:type="character" w:styleId="Hipervnculo">
    <w:name w:val="Hyperlink"/>
    <w:uiPriority w:val="99"/>
    <w:unhideWhenUsed/>
    <w:rsid w:val="00C5125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90FF8"/>
    <w:pPr>
      <w:autoSpaceDE w:val="0"/>
      <w:autoSpaceDN w:val="0"/>
      <w:adjustRightInd w:val="0"/>
      <w:spacing w:after="0" w:line="240" w:lineRule="auto"/>
    </w:pPr>
    <w:rPr>
      <w:rFonts w:ascii="Arial" w:hAnsi="Arial" w:cs="Arial"/>
      <w:color w:val="000000"/>
      <w:sz w:val="24"/>
      <w:szCs w:val="24"/>
      <w:lang w:val="es-MX"/>
    </w:rPr>
  </w:style>
  <w:style w:type="paragraph" w:styleId="Textoindependiente">
    <w:name w:val="Body Text"/>
    <w:basedOn w:val="Normal"/>
    <w:link w:val="TextoindependienteCar"/>
    <w:rsid w:val="00890FF8"/>
    <w:pPr>
      <w:spacing w:after="0" w:line="240" w:lineRule="auto"/>
      <w:jc w:val="center"/>
    </w:pPr>
    <w:rPr>
      <w:rFonts w:ascii="Bookman Old Style" w:eastAsia="Times New Roman" w:hAnsi="Bookman Old Style" w:cs="Times New Roman"/>
      <w:b/>
      <w:sz w:val="26"/>
      <w:szCs w:val="24"/>
      <w:lang w:val="es-MX" w:eastAsia="es-MX"/>
    </w:rPr>
  </w:style>
  <w:style w:type="character" w:customStyle="1" w:styleId="TextoindependienteCar">
    <w:name w:val="Texto independiente Car"/>
    <w:basedOn w:val="Fuentedeprrafopredeter"/>
    <w:link w:val="Textoindependiente"/>
    <w:rsid w:val="00890FF8"/>
    <w:rPr>
      <w:rFonts w:ascii="Bookman Old Style" w:eastAsia="Times New Roman" w:hAnsi="Bookman Old Style" w:cs="Times New Roman"/>
      <w:b/>
      <w:sz w:val="26"/>
      <w:szCs w:val="24"/>
      <w:lang w:val="es-MX" w:eastAsia="es-MX"/>
    </w:rPr>
  </w:style>
  <w:style w:type="character" w:styleId="Hipervnculo">
    <w:name w:val="Hyperlink"/>
    <w:uiPriority w:val="99"/>
    <w:unhideWhenUsed/>
    <w:rsid w:val="00C512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ansparencia@tecdmx.org.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Israel Ruíz Ramírez</dc:creator>
  <cp:lastModifiedBy>casa</cp:lastModifiedBy>
  <cp:revision>2</cp:revision>
  <dcterms:created xsi:type="dcterms:W3CDTF">2020-07-01T15:54:00Z</dcterms:created>
  <dcterms:modified xsi:type="dcterms:W3CDTF">2020-07-01T15:54:00Z</dcterms:modified>
</cp:coreProperties>
</file>